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14" w:rsidRPr="00C01417" w:rsidRDefault="000B0914" w:rsidP="000B0914">
      <w:pPr>
        <w:jc w:val="left"/>
        <w:rPr>
          <w:rFonts w:asciiTheme="minorEastAsia" w:eastAsiaTheme="minorEastAsia" w:hAnsiTheme="minorEastAsia"/>
          <w:color w:val="000000" w:themeColor="text1"/>
          <w:szCs w:val="40"/>
        </w:rPr>
      </w:pPr>
      <w:bookmarkStart w:id="0" w:name="_GoBack"/>
      <w:bookmarkEnd w:id="0"/>
    </w:p>
    <w:p w:rsidR="000B0914" w:rsidRPr="00C01417" w:rsidRDefault="000B0914" w:rsidP="000B0914">
      <w:pPr>
        <w:jc w:val="center"/>
        <w:rPr>
          <w:rFonts w:asciiTheme="minorEastAsia" w:eastAsiaTheme="minorEastAsia" w:hAnsiTheme="minorEastAsia"/>
          <w:color w:val="000000" w:themeColor="text1"/>
          <w:sz w:val="24"/>
        </w:rPr>
      </w:pPr>
      <w:r w:rsidRPr="00C01417">
        <w:rPr>
          <w:rFonts w:asciiTheme="minorEastAsia" w:eastAsiaTheme="minorEastAsia" w:hAnsiTheme="minorEastAsia" w:hint="eastAsia"/>
          <w:color w:val="000000" w:themeColor="text1"/>
          <w:sz w:val="40"/>
          <w:szCs w:val="40"/>
        </w:rPr>
        <w:t>スキャナによる電子化保存規程</w:t>
      </w:r>
    </w:p>
    <w:p w:rsidR="000B0914" w:rsidRPr="00C01417" w:rsidRDefault="000B0914" w:rsidP="000B0914">
      <w:pPr>
        <w:rPr>
          <w:rFonts w:asciiTheme="minorEastAsia" w:eastAsiaTheme="minorEastAsia" w:hAnsiTheme="minorEastAsia"/>
          <w:color w:val="000000" w:themeColor="text1"/>
          <w:sz w:val="40"/>
          <w:szCs w:val="40"/>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第１条　この規程は、○○における紙による国税関係書類について、××社製●●システム（以下「本システム」という。）を活用して、スキャナによる電子化を安全かつ合理的に図るための事項を定め、適正に利用・保存することを目的と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第３条　○○における本システムの運用に当たっては、管理責任者及び作業担当者を置くものとし、事務分掌細則によりこれを定める。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（利用者の責務）</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第４条　本システムの利用者は以下の責務を負う。</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一　自身のＩＤやパスワードを管理し、これを他人に利用させない。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本システムの情報の参照や入力（以下「アクセス」という。）に際して、ＩＤやパスワードによって、本システムに利用者自身を認識させる。</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第５条　○○におけるスキャナにより電子化する書類は、次の各号に定めるところによる。</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w:t>
      </w:r>
    </w:p>
    <w:p w:rsidR="000B0914" w:rsidRPr="00C01417" w:rsidRDefault="000B0914" w:rsidP="000B0914">
      <w:pPr>
        <w:ind w:left="256" w:hangingChars="122" w:hanging="256"/>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前項第３号及び第４号に定める書類は、これらを併せて、以下「一般書類」という。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速やか（おおむね７営業日以内）に入力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毎月末までに受領したものを、翌々月７日までに入力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１月から６月までに発行したものは８月末までに、７月から12月までに発行したものは翌年２月末までに入力</w:t>
      </w:r>
    </w:p>
    <w:p w:rsidR="000B0914" w:rsidRPr="00C01417" w:rsidRDefault="000B0914" w:rsidP="000B0914">
      <w:pPr>
        <w:ind w:leftChars="114" w:left="449"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１月から６月までに受領したものは８月末までに、７月から12月までに受領したものは翌年２月末までに入力</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第７条　本システムによる電子化文書の作成及び管理機能は、次に定めるところによる。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電子化文書のデータフォーマットは、ＢＭＰ、ＴＩＦＦ、ＰＤＦ又はＪＰＥＧとする。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画像品質の確保　電子化文書の画像は、第10条で定めるところにより確認できること。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四　両面スキャン　電子化文書の作成に当たっては、原則として、両面をスキャンする。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ただし、裏面に記載のないものなどについては、この限りではない。</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タイムスタンプ　●●株式会社のタイムスタンプサービスを利用し、電子化文書には第６条各号に定める時期までにタイムスタンプを付与し、当該電子化文書の作成時期の証明及び改ざん等の事実の有無を検証できるようにする。</w:t>
      </w:r>
    </w:p>
    <w:p w:rsidR="000B0914" w:rsidRPr="00C01417" w:rsidRDefault="000B0914" w:rsidP="000B0914">
      <w:pPr>
        <w:ind w:leftChars="200" w:left="42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なお、課税期間中の任意の期間を指定して当該期間内に付与したタイムスタンプについて、一括して検証できるようにする。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解像度等の情報の保存　電子化文書作成時の解像度、階調及び元の紙文書の大きさに関する情報を保存する。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ただし、一般書類については、紙文書の大きさに関する情報を保存する必要はない。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ヴァージョン管理　記録した電子化文書のヴァージョン管理を行うに当たり、当初に記録した電子化文書を第１版とし、その後に訂正又は削除が行われても第１版の内容を保持する。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アクセス管理　情報の利用範囲、更新履歴、機密度等に応じた管理区分を設定するとともに、情報にアクセスしようとする者を識別し認証できること。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不正アクセスの排除　不正なアクセスを排除できること。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利用ログ管理　本システムの管理責任者は、ログの情報等を利用して不正なアクセスの防止をすることとする。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電子化文書には、管理用通番として伝票番号を付し、帳簿に記載される内容と関連付けを行う。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４ポイント文字が認識できる機能　本システムはJIS X 6933又はISO12653-3テストチャートの４ポイント文字が認識でき、電子化文書を拡大縮小表示できること。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第４章　機器の管理と運用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（機器の管理）</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電子化文書の情報が十分に保護されるように記録媒体の二重化、バックアップの採取等を行う。また、品質劣化が予想される記録媒体については定期的に記録媒体の移し替え等を行う。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外部ネットワーク接続により、不正アクセスによる被害やウィルスによる被害が発生しないように対策を施す。</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rsidR="000B0914" w:rsidRPr="00C01417" w:rsidRDefault="000B0914" w:rsidP="000B0914">
      <w:pPr>
        <w:ind w:left="2100" w:hangingChars="1000" w:hanging="2100"/>
        <w:rPr>
          <w:rFonts w:asciiTheme="minorEastAsia" w:eastAsiaTheme="minorEastAsia" w:hAnsiTheme="minorEastAsia"/>
          <w:color w:val="000000" w:themeColor="text1"/>
          <w:szCs w:val="21"/>
        </w:rPr>
      </w:pPr>
    </w:p>
    <w:p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（書類の受領）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第11条　取引先から請求書を受領した営業責任者は、納品書及び検収報告書との照合を行い内容に誤りがないことを確認した後に、請求書を経理責任者に引き継ぐ。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取引先から納品書を受領した営業責任者は、注文書（控）及び納品された現物を確認した後に、納品書を経理責任者に引き継ぐ。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見積書を作成した営業責任者は、その控えを経理責任者に引き継ぐ。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取引先から注文書を受領した営業責任者は、出荷指示書を作成し、商品を出荷した後に、注文書及び出荷指示書を経理責任者へ引き継ぐ。</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（仕訳伝票等の整理）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第12条　経理責任者は、回付された請求書に基づき決済手続、仕訳伝票の整理、買掛帳の整理等を行った後に、作業担当者が請求書をスキャナ用ボックスに保管する。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作業担当者は、回付された納品書、見積書、注文書及び出荷指示書をそれぞれごとに分類し、スキャナ用ボックスに保管する。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（スキャニングの準備）</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第13条　作業担当者は、次の期日までにホチキス留めをはずし、折りたたみを広げスキャニングの準備を行う。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請求書受領後、５日以内</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見積書（控え）　１月から６月までに発行したものは７月末、７月から12月までに発行したものは翌年１月末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１月から６月までに受領したものは７月末、７月から12月までに受領したものは翌年１月末</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（スキャニング処理）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作業担当者は、本システムを活用し、スキャニング処理を実施する。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作業担当者は、正確にスキャニングされていることを確認した後に、画像（電子化文書）及びＣＳＶ（検索項目）をサーバに転送し、管理責任者にこれを引き継ぐ。</w:t>
      </w:r>
    </w:p>
    <w:p w:rsidR="000B0914" w:rsidRPr="00C01417" w:rsidRDefault="000B0914" w:rsidP="000B0914">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５　管理責任者は、第７条第２項第１号に定めるタイムスタンプを付与し、本システムに登録する。</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第15条　本システムにより電子化されたデータは、国税に関する法律の規定により保存しなければならないとされている期間まで保存する。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第６章　原本の廃棄等</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第16条　作業担当者は、スキャニング処理を了した原本について、管理責任者のチェックが完了するまでの間、一時保管する。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この管理責任者のチェックが完了した原本については、作業担当者が文書管理規程に基づき、これを廃棄し、その旨を管理責任者に連絡する。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rsidR="005E3F1F" w:rsidRDefault="000B0914" w:rsidP="000B0914">
      <w:r w:rsidRPr="00C01417">
        <w:rPr>
          <w:rFonts w:asciiTheme="minorEastAsia" w:eastAsiaTheme="minorEastAsia" w:hAnsiTheme="minorEastAsia" w:hint="eastAsia"/>
          <w:color w:val="000000" w:themeColor="text1"/>
          <w:szCs w:val="21"/>
        </w:rPr>
        <w:t>第18条　この規程は、令和○年○月○日から施行する。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E0" w:rsidRDefault="006401E0" w:rsidP="006401E0">
      <w:r>
        <w:separator/>
      </w:r>
    </w:p>
  </w:endnote>
  <w:endnote w:type="continuationSeparator" w:id="0">
    <w:p w:rsidR="006401E0" w:rsidRDefault="006401E0"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E0" w:rsidRDefault="006401E0" w:rsidP="006401E0">
      <w:r>
        <w:separator/>
      </w:r>
    </w:p>
  </w:footnote>
  <w:footnote w:type="continuationSeparator" w:id="0">
    <w:p w:rsidR="006401E0" w:rsidRDefault="006401E0" w:rsidP="006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4"/>
    <w:rsid w:val="000B0914"/>
    <w:rsid w:val="005E3F1F"/>
    <w:rsid w:val="0064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国税庁</cp:lastModifiedBy>
  <cp:revision>2</cp:revision>
  <dcterms:created xsi:type="dcterms:W3CDTF">2021-07-12T08:31:00Z</dcterms:created>
  <dcterms:modified xsi:type="dcterms:W3CDTF">2021-07-20T08:26:00Z</dcterms:modified>
</cp:coreProperties>
</file>